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220" w:rightFromText="220" w:vertAnchor="text" w:horzAnchor="page" w:tblpX="435" w:tblpY="599"/>
        <w:tblOverlap w:val="never"/>
        <w:tblW w:w="6160" w:type="dxa"/>
        <w:tblLook w:val="04A0" w:firstRow="1" w:lastRow="0" w:firstColumn="1" w:lastColumn="0" w:noHBand="0" w:noVBand="1"/>
      </w:tblPr>
      <w:tblGrid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</w:tblGrid>
      <w:tr w:rsidR="001301F7" w:rsidRPr="00B72B02" w:rsidTr="001301F7">
        <w:trPr>
          <w:trHeight w:val="260"/>
        </w:trPr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</w:t>
            </w:r>
            <w:r>
              <w:t xml:space="preserve">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3</w:t>
            </w:r>
            <w: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4</w:t>
            </w:r>
            <w: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5</w:t>
            </w:r>
            <w:r>
              <w:t xml:space="preserve">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6</w:t>
            </w:r>
            <w:r>
              <w:t xml:space="preserve">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7</w:t>
            </w:r>
            <w:r>
              <w:t xml:space="preserve">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8</w:t>
            </w:r>
            <w: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9</w:t>
            </w:r>
            <w:r>
              <w:t xml:space="preserve">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10</w:t>
            </w:r>
            <w: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11</w:t>
            </w:r>
            <w:r>
              <w:t xml:space="preserve">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12</w:t>
            </w:r>
            <w:r>
              <w:t xml:space="preserve">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13</w:t>
            </w:r>
            <w: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14</w:t>
            </w:r>
            <w: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15</w:t>
            </w:r>
            <w: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16</w:t>
            </w:r>
            <w: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</w:tbl>
    <w:p w:rsidR="0040576B" w:rsidRPr="001301F7" w:rsidRDefault="0040576B" w:rsidP="00B72B02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1301F7">
        <w:rPr>
          <w:rFonts w:ascii="Times New Roman" w:hAnsi="Times New Roman" w:cs="Times New Roman"/>
          <w:sz w:val="28"/>
          <w:szCs w:val="28"/>
          <w:lang w:val="ru-RU"/>
        </w:rPr>
        <w:t>Российское государство к 15 н 16в</w:t>
      </w:r>
    </w:p>
    <w:p w:rsidR="001301F7" w:rsidRDefault="00B72B02" w:rsidP="00B72B02">
      <w:pPr>
        <w:rPr>
          <w:rFonts w:ascii="Times New Roman" w:hAnsi="Times New Roman" w:cs="Times New Roman"/>
          <w:lang w:val="ru-RU"/>
        </w:rPr>
      </w:pPr>
      <w:r w:rsidRPr="001301F7">
        <w:rPr>
          <w:rFonts w:ascii="Times New Roman" w:hAnsi="Times New Roman" w:cs="Times New Roman"/>
          <w:b/>
          <w:sz w:val="28"/>
          <w:lang w:val="ru-RU"/>
        </w:rPr>
        <w:t>По горизонтали</w:t>
      </w:r>
      <w:r w:rsidR="001301F7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Pr="001301F7">
        <w:rPr>
          <w:rFonts w:ascii="Times New Roman" w:hAnsi="Times New Roman" w:cs="Times New Roman"/>
          <w:b/>
          <w:lang w:val="ru-RU"/>
        </w:rPr>
        <w:t>3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Воевода московский разгромивший новгородцев на </w:t>
      </w:r>
      <w:proofErr w:type="spellStart"/>
      <w:r w:rsidRPr="001301F7">
        <w:rPr>
          <w:rFonts w:ascii="Times New Roman" w:hAnsi="Times New Roman" w:cs="Times New Roman"/>
          <w:lang w:val="ru-RU"/>
        </w:rPr>
        <w:t>Шелони</w:t>
      </w:r>
      <w:proofErr w:type="spellEnd"/>
      <w:r w:rsidRPr="001301F7">
        <w:rPr>
          <w:rFonts w:ascii="Times New Roman" w:hAnsi="Times New Roman" w:cs="Times New Roman"/>
          <w:lang w:val="ru-RU"/>
        </w:rPr>
        <w:t xml:space="preserve">.  </w:t>
      </w:r>
      <w:r w:rsidRPr="001301F7">
        <w:rPr>
          <w:rFonts w:ascii="Times New Roman" w:hAnsi="Times New Roman" w:cs="Times New Roman"/>
          <w:b/>
          <w:lang w:val="ru-RU"/>
        </w:rPr>
        <w:t>4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Полководец захвативший </w:t>
      </w:r>
      <w:proofErr w:type="spellStart"/>
      <w:r w:rsidRPr="001301F7">
        <w:rPr>
          <w:rFonts w:ascii="Times New Roman" w:hAnsi="Times New Roman" w:cs="Times New Roman"/>
          <w:lang w:val="ru-RU"/>
        </w:rPr>
        <w:t>Смоленски</w:t>
      </w:r>
      <w:proofErr w:type="spellEnd"/>
      <w:r w:rsidRPr="001301F7">
        <w:rPr>
          <w:rFonts w:ascii="Times New Roman" w:hAnsi="Times New Roman" w:cs="Times New Roman"/>
          <w:lang w:val="ru-RU"/>
        </w:rPr>
        <w:t xml:space="preserve">.  </w:t>
      </w:r>
      <w:r w:rsidRPr="001301F7">
        <w:rPr>
          <w:rFonts w:ascii="Times New Roman" w:hAnsi="Times New Roman" w:cs="Times New Roman"/>
          <w:b/>
          <w:lang w:val="ru-RU"/>
        </w:rPr>
        <w:t>8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Один из символов государственной власти.  </w:t>
      </w:r>
      <w:r w:rsidRPr="001301F7">
        <w:rPr>
          <w:rFonts w:ascii="Times New Roman" w:hAnsi="Times New Roman" w:cs="Times New Roman"/>
          <w:b/>
          <w:lang w:val="ru-RU"/>
        </w:rPr>
        <w:t>10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Особые права.  </w:t>
      </w:r>
      <w:r w:rsidRPr="001301F7">
        <w:rPr>
          <w:rFonts w:ascii="Times New Roman" w:hAnsi="Times New Roman" w:cs="Times New Roman"/>
          <w:b/>
          <w:lang w:val="ru-RU"/>
        </w:rPr>
        <w:t>13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Занятие должностей в соответствии со знатностью рода.  </w:t>
      </w:r>
      <w:r w:rsidRPr="001301F7">
        <w:rPr>
          <w:rFonts w:ascii="Times New Roman" w:hAnsi="Times New Roman" w:cs="Times New Roman"/>
          <w:b/>
          <w:lang w:val="ru-RU"/>
        </w:rPr>
        <w:t>14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Город, присоединенный к Московскому государству Василием </w:t>
      </w:r>
      <w:r w:rsidRPr="001301F7">
        <w:rPr>
          <w:rFonts w:ascii="Times New Roman" w:hAnsi="Times New Roman" w:cs="Times New Roman"/>
        </w:rPr>
        <w:t>III</w:t>
      </w:r>
      <w:r w:rsidRPr="001301F7">
        <w:rPr>
          <w:rFonts w:ascii="Times New Roman" w:hAnsi="Times New Roman" w:cs="Times New Roman"/>
          <w:lang w:val="ru-RU"/>
        </w:rPr>
        <w:t xml:space="preserve">.  </w:t>
      </w:r>
      <w:r w:rsidRPr="001301F7">
        <w:rPr>
          <w:rFonts w:ascii="Times New Roman" w:hAnsi="Times New Roman" w:cs="Times New Roman"/>
          <w:b/>
          <w:lang w:val="ru-RU"/>
        </w:rPr>
        <w:t>15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Содержание чиновников за счет местного населения.  </w:t>
      </w:r>
      <w:r w:rsidRPr="001301F7">
        <w:rPr>
          <w:rFonts w:ascii="Times New Roman" w:hAnsi="Times New Roman" w:cs="Times New Roman"/>
          <w:b/>
          <w:lang w:val="ru-RU"/>
        </w:rPr>
        <w:t>16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Город, взятый восками Ивана </w:t>
      </w:r>
      <w:r w:rsidRPr="001301F7">
        <w:rPr>
          <w:rFonts w:ascii="Times New Roman" w:hAnsi="Times New Roman" w:cs="Times New Roman"/>
        </w:rPr>
        <w:t>III</w:t>
      </w:r>
      <w:r w:rsidRPr="001301F7">
        <w:rPr>
          <w:rFonts w:ascii="Times New Roman" w:hAnsi="Times New Roman" w:cs="Times New Roman"/>
          <w:lang w:val="ru-RU"/>
        </w:rPr>
        <w:t xml:space="preserve">.  </w:t>
      </w:r>
      <w:r w:rsidR="001301F7" w:rsidRPr="001301F7">
        <w:rPr>
          <w:rFonts w:ascii="Times New Roman" w:hAnsi="Times New Roman" w:cs="Times New Roman"/>
          <w:lang w:val="ru-RU"/>
        </w:rPr>
        <w:br/>
      </w:r>
      <w:r w:rsidRPr="001301F7">
        <w:rPr>
          <w:rFonts w:ascii="Times New Roman" w:hAnsi="Times New Roman" w:cs="Times New Roman"/>
          <w:b/>
          <w:sz w:val="28"/>
          <w:lang w:val="ru-RU"/>
        </w:rPr>
        <w:t>По вертикали</w:t>
      </w:r>
      <w:r w:rsidR="001301F7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Pr="001301F7">
        <w:rPr>
          <w:rFonts w:ascii="Times New Roman" w:hAnsi="Times New Roman" w:cs="Times New Roman"/>
          <w:b/>
          <w:lang w:val="ru-RU"/>
        </w:rPr>
        <w:t>1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Налог, который платили крестьяне при уходе в Юрьев день.  </w:t>
      </w:r>
      <w:r w:rsidRPr="001301F7">
        <w:rPr>
          <w:rFonts w:ascii="Times New Roman" w:hAnsi="Times New Roman" w:cs="Times New Roman"/>
          <w:b/>
          <w:lang w:val="ru-RU"/>
        </w:rPr>
        <w:t>2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Крымский хан враг Ахмата.  </w:t>
      </w:r>
      <w:r w:rsidRPr="001301F7">
        <w:rPr>
          <w:rFonts w:ascii="Times New Roman" w:hAnsi="Times New Roman" w:cs="Times New Roman"/>
          <w:b/>
          <w:lang w:val="ru-RU"/>
        </w:rPr>
        <w:t>5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Город, уступленный Литвой России.  </w:t>
      </w:r>
      <w:r w:rsidRPr="001301F7">
        <w:rPr>
          <w:rFonts w:ascii="Times New Roman" w:hAnsi="Times New Roman" w:cs="Times New Roman"/>
          <w:b/>
          <w:lang w:val="ru-RU"/>
        </w:rPr>
        <w:t>6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Князь Литвы.  </w:t>
      </w:r>
      <w:r w:rsidRPr="001301F7">
        <w:rPr>
          <w:rFonts w:ascii="Times New Roman" w:hAnsi="Times New Roman" w:cs="Times New Roman"/>
          <w:b/>
          <w:lang w:val="ru-RU"/>
        </w:rPr>
        <w:t>7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proofErr w:type="gramStart"/>
      <w:r w:rsidRPr="001301F7">
        <w:rPr>
          <w:rFonts w:ascii="Times New Roman" w:hAnsi="Times New Roman" w:cs="Times New Roman"/>
          <w:lang w:val="ru-RU"/>
        </w:rPr>
        <w:t>Земля</w:t>
      </w:r>
      <w:proofErr w:type="gramEnd"/>
      <w:r w:rsidRPr="001301F7">
        <w:rPr>
          <w:rFonts w:ascii="Times New Roman" w:hAnsi="Times New Roman" w:cs="Times New Roman"/>
          <w:lang w:val="ru-RU"/>
        </w:rPr>
        <w:t xml:space="preserve"> выдаваемая за службу.  </w:t>
      </w:r>
      <w:r w:rsidRPr="001301F7">
        <w:rPr>
          <w:rFonts w:ascii="Times New Roman" w:hAnsi="Times New Roman" w:cs="Times New Roman"/>
          <w:b/>
          <w:lang w:val="ru-RU"/>
        </w:rPr>
        <w:t>9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Сторонники отказа Церкви от приобретения земельных и имущественных ценностей.  </w:t>
      </w:r>
      <w:r w:rsidRPr="001301F7">
        <w:rPr>
          <w:rFonts w:ascii="Times New Roman" w:hAnsi="Times New Roman" w:cs="Times New Roman"/>
          <w:b/>
          <w:lang w:val="ru-RU"/>
        </w:rPr>
        <w:t>11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Городское торгово-ремесленное население.  </w:t>
      </w:r>
      <w:r w:rsidRPr="001301F7">
        <w:rPr>
          <w:rFonts w:ascii="Times New Roman" w:hAnsi="Times New Roman" w:cs="Times New Roman"/>
          <w:b/>
          <w:lang w:val="ru-RU"/>
        </w:rPr>
        <w:t>12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>Река, где были разбиты литовс</w:t>
      </w:r>
      <w:r w:rsidR="001301F7">
        <w:rPr>
          <w:rFonts w:ascii="Times New Roman" w:hAnsi="Times New Roman" w:cs="Times New Roman"/>
          <w:lang w:val="ru-RU"/>
        </w:rPr>
        <w:t xml:space="preserve">кие войска московским войском. </w:t>
      </w:r>
    </w:p>
    <w:tbl>
      <w:tblPr>
        <w:tblpPr w:leftFromText="220" w:rightFromText="220" w:vertAnchor="text" w:horzAnchor="page" w:tblpX="329" w:tblpY="272"/>
        <w:tblOverlap w:val="never"/>
        <w:tblW w:w="6320" w:type="dxa"/>
        <w:tblLook w:val="04A0" w:firstRow="1" w:lastRow="0" w:firstColumn="1" w:lastColumn="0" w:noHBand="0" w:noVBand="1"/>
      </w:tblPr>
      <w:tblGrid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</w:tblGrid>
      <w:tr w:rsidR="001301F7" w:rsidRPr="00B72B02" w:rsidTr="001301F7">
        <w:trPr>
          <w:trHeight w:val="260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bookmarkStart w:id="0" w:name="_GoBack"/>
            <w:bookmarkEnd w:id="0"/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</w:t>
            </w:r>
            <w:r>
              <w:t xml:space="preserve"> 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3</w:t>
            </w:r>
            <w:r>
              <w:t xml:space="preserve"> 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4</w:t>
            </w:r>
            <w:r>
              <w:t xml:space="preserve"> 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5</w:t>
            </w:r>
            <w:r>
              <w:t xml:space="preserve"> 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6</w:t>
            </w:r>
            <w:r>
              <w:t xml:space="preserve"> 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7</w:t>
            </w:r>
            <w:r>
              <w:t xml:space="preserve"> 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8</w:t>
            </w:r>
            <w:r>
              <w:t xml:space="preserve"> 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9</w:t>
            </w:r>
            <w:r>
              <w:t xml:space="preserve"> 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10</w:t>
            </w:r>
            <w:r>
              <w:t xml:space="preserve"> 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11</w:t>
            </w:r>
            <w:r>
              <w:t xml:space="preserve"> 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12</w:t>
            </w:r>
            <w:r>
              <w:t xml:space="preserve"> 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13</w:t>
            </w:r>
            <w:r>
              <w:t xml:space="preserve"> 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14</w:t>
            </w:r>
            <w:r>
              <w:t xml:space="preserve"> 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15</w:t>
            </w:r>
            <w:r>
              <w:t xml:space="preserve"> 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sz w:val="20"/>
                <w:szCs w:val="16"/>
                <w:vertAlign w:val="superscript"/>
              </w:rPr>
              <w:t>16</w:t>
            </w:r>
            <w:r>
              <w:t xml:space="preserve"> 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  <w:tr w:rsidR="001301F7" w:rsidRPr="00B72B02" w:rsidTr="001301F7">
        <w:trPr>
          <w:trHeight w:val="260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1301F7" w:rsidRPr="00B72B02" w:rsidRDefault="001301F7" w:rsidP="001301F7">
            <w:pPr>
              <w:spacing w:after="0" w:line="240" w:lineRule="auto"/>
            </w:pPr>
            <w:r>
              <w:rPr>
                <w:color w:val="A6A6A6"/>
              </w:rPr>
              <w:t>X</w:t>
            </w:r>
          </w:p>
        </w:tc>
      </w:tr>
    </w:tbl>
    <w:p w:rsidR="001301F7" w:rsidRPr="001301F7" w:rsidRDefault="001301F7" w:rsidP="001301F7">
      <w:pPr>
        <w:rPr>
          <w:rFonts w:ascii="Times New Roman" w:hAnsi="Times New Roman" w:cs="Times New Roman"/>
          <w:lang w:val="ru-RU"/>
        </w:rPr>
      </w:pPr>
      <w:r w:rsidRPr="001301F7">
        <w:rPr>
          <w:rFonts w:ascii="Times New Roman" w:hAnsi="Times New Roman" w:cs="Times New Roman"/>
          <w:b/>
          <w:sz w:val="28"/>
          <w:lang w:val="ru-RU"/>
        </w:rPr>
        <w:t>По горизонтали</w:t>
      </w:r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Pr="001301F7">
        <w:rPr>
          <w:rFonts w:ascii="Times New Roman" w:hAnsi="Times New Roman" w:cs="Times New Roman"/>
          <w:b/>
          <w:lang w:val="ru-RU"/>
        </w:rPr>
        <w:t>3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Воевода московский разгромивший новгородцев на </w:t>
      </w:r>
      <w:proofErr w:type="spellStart"/>
      <w:r w:rsidRPr="001301F7">
        <w:rPr>
          <w:rFonts w:ascii="Times New Roman" w:hAnsi="Times New Roman" w:cs="Times New Roman"/>
          <w:lang w:val="ru-RU"/>
        </w:rPr>
        <w:t>Шелони</w:t>
      </w:r>
      <w:proofErr w:type="spellEnd"/>
      <w:r w:rsidRPr="001301F7">
        <w:rPr>
          <w:rFonts w:ascii="Times New Roman" w:hAnsi="Times New Roman" w:cs="Times New Roman"/>
          <w:lang w:val="ru-RU"/>
        </w:rPr>
        <w:t xml:space="preserve">.  </w:t>
      </w:r>
      <w:r w:rsidRPr="001301F7">
        <w:rPr>
          <w:rFonts w:ascii="Times New Roman" w:hAnsi="Times New Roman" w:cs="Times New Roman"/>
          <w:b/>
          <w:lang w:val="ru-RU"/>
        </w:rPr>
        <w:t>4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Полководец захвативший </w:t>
      </w:r>
      <w:proofErr w:type="spellStart"/>
      <w:r w:rsidRPr="001301F7">
        <w:rPr>
          <w:rFonts w:ascii="Times New Roman" w:hAnsi="Times New Roman" w:cs="Times New Roman"/>
          <w:lang w:val="ru-RU"/>
        </w:rPr>
        <w:t>Смоленски</w:t>
      </w:r>
      <w:proofErr w:type="spellEnd"/>
      <w:r w:rsidRPr="001301F7">
        <w:rPr>
          <w:rFonts w:ascii="Times New Roman" w:hAnsi="Times New Roman" w:cs="Times New Roman"/>
          <w:lang w:val="ru-RU"/>
        </w:rPr>
        <w:t xml:space="preserve">.  </w:t>
      </w:r>
      <w:r w:rsidRPr="001301F7">
        <w:rPr>
          <w:rFonts w:ascii="Times New Roman" w:hAnsi="Times New Roman" w:cs="Times New Roman"/>
          <w:b/>
          <w:lang w:val="ru-RU"/>
        </w:rPr>
        <w:t>8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Один из символов государственной власти.  </w:t>
      </w:r>
      <w:r w:rsidRPr="001301F7">
        <w:rPr>
          <w:rFonts w:ascii="Times New Roman" w:hAnsi="Times New Roman" w:cs="Times New Roman"/>
          <w:b/>
          <w:lang w:val="ru-RU"/>
        </w:rPr>
        <w:t>10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Особые права.  </w:t>
      </w:r>
      <w:r w:rsidRPr="001301F7">
        <w:rPr>
          <w:rFonts w:ascii="Times New Roman" w:hAnsi="Times New Roman" w:cs="Times New Roman"/>
          <w:b/>
          <w:lang w:val="ru-RU"/>
        </w:rPr>
        <w:t>13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Занятие должностей в соответствии со знатностью рода.  </w:t>
      </w:r>
      <w:r w:rsidRPr="001301F7">
        <w:rPr>
          <w:rFonts w:ascii="Times New Roman" w:hAnsi="Times New Roman" w:cs="Times New Roman"/>
          <w:b/>
          <w:lang w:val="ru-RU"/>
        </w:rPr>
        <w:t>14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Город, присоединенный к Московскому государству Василием </w:t>
      </w:r>
      <w:r w:rsidRPr="001301F7">
        <w:rPr>
          <w:rFonts w:ascii="Times New Roman" w:hAnsi="Times New Roman" w:cs="Times New Roman"/>
        </w:rPr>
        <w:t>III</w:t>
      </w:r>
      <w:r w:rsidRPr="001301F7">
        <w:rPr>
          <w:rFonts w:ascii="Times New Roman" w:hAnsi="Times New Roman" w:cs="Times New Roman"/>
          <w:lang w:val="ru-RU"/>
        </w:rPr>
        <w:t xml:space="preserve">.  </w:t>
      </w:r>
      <w:r w:rsidRPr="001301F7">
        <w:rPr>
          <w:rFonts w:ascii="Times New Roman" w:hAnsi="Times New Roman" w:cs="Times New Roman"/>
          <w:b/>
          <w:lang w:val="ru-RU"/>
        </w:rPr>
        <w:t>15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Содержание чиновников за счет местного населения.  </w:t>
      </w:r>
      <w:r w:rsidRPr="001301F7">
        <w:rPr>
          <w:rFonts w:ascii="Times New Roman" w:hAnsi="Times New Roman" w:cs="Times New Roman"/>
          <w:b/>
          <w:lang w:val="ru-RU"/>
        </w:rPr>
        <w:t>16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Город, взятый восками Ивана </w:t>
      </w:r>
      <w:r w:rsidRPr="001301F7">
        <w:rPr>
          <w:rFonts w:ascii="Times New Roman" w:hAnsi="Times New Roman" w:cs="Times New Roman"/>
        </w:rPr>
        <w:t>III</w:t>
      </w:r>
      <w:r w:rsidRPr="001301F7">
        <w:rPr>
          <w:rFonts w:ascii="Times New Roman" w:hAnsi="Times New Roman" w:cs="Times New Roman"/>
          <w:lang w:val="ru-RU"/>
        </w:rPr>
        <w:t xml:space="preserve">.  </w:t>
      </w:r>
      <w:r w:rsidRPr="001301F7">
        <w:rPr>
          <w:rFonts w:ascii="Times New Roman" w:hAnsi="Times New Roman" w:cs="Times New Roman"/>
          <w:lang w:val="ru-RU"/>
        </w:rPr>
        <w:br/>
      </w:r>
      <w:r w:rsidRPr="001301F7">
        <w:rPr>
          <w:rFonts w:ascii="Times New Roman" w:hAnsi="Times New Roman" w:cs="Times New Roman"/>
          <w:b/>
          <w:sz w:val="28"/>
          <w:lang w:val="ru-RU"/>
        </w:rPr>
        <w:t>По вертикали</w:t>
      </w:r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Pr="001301F7">
        <w:rPr>
          <w:rFonts w:ascii="Times New Roman" w:hAnsi="Times New Roman" w:cs="Times New Roman"/>
          <w:b/>
          <w:lang w:val="ru-RU"/>
        </w:rPr>
        <w:t>1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Налог, который платили крестьяне при уходе в Юрьев день.  </w:t>
      </w:r>
      <w:r w:rsidRPr="001301F7">
        <w:rPr>
          <w:rFonts w:ascii="Times New Roman" w:hAnsi="Times New Roman" w:cs="Times New Roman"/>
          <w:b/>
          <w:lang w:val="ru-RU"/>
        </w:rPr>
        <w:t>2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Крымский хан враг Ахмата.  </w:t>
      </w:r>
      <w:r w:rsidRPr="001301F7">
        <w:rPr>
          <w:rFonts w:ascii="Times New Roman" w:hAnsi="Times New Roman" w:cs="Times New Roman"/>
          <w:b/>
          <w:lang w:val="ru-RU"/>
        </w:rPr>
        <w:t>5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Город, уступленный Литвой России.  </w:t>
      </w:r>
      <w:r w:rsidRPr="001301F7">
        <w:rPr>
          <w:rFonts w:ascii="Times New Roman" w:hAnsi="Times New Roman" w:cs="Times New Roman"/>
          <w:b/>
          <w:lang w:val="ru-RU"/>
        </w:rPr>
        <w:t>6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Князь Литвы.  </w:t>
      </w:r>
      <w:r w:rsidRPr="001301F7">
        <w:rPr>
          <w:rFonts w:ascii="Times New Roman" w:hAnsi="Times New Roman" w:cs="Times New Roman"/>
          <w:b/>
          <w:lang w:val="ru-RU"/>
        </w:rPr>
        <w:t>7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proofErr w:type="gramStart"/>
      <w:r w:rsidRPr="001301F7">
        <w:rPr>
          <w:rFonts w:ascii="Times New Roman" w:hAnsi="Times New Roman" w:cs="Times New Roman"/>
          <w:lang w:val="ru-RU"/>
        </w:rPr>
        <w:t>Земля</w:t>
      </w:r>
      <w:proofErr w:type="gramEnd"/>
      <w:r w:rsidRPr="001301F7">
        <w:rPr>
          <w:rFonts w:ascii="Times New Roman" w:hAnsi="Times New Roman" w:cs="Times New Roman"/>
          <w:lang w:val="ru-RU"/>
        </w:rPr>
        <w:t xml:space="preserve"> выдаваемая за службу.  </w:t>
      </w:r>
      <w:r w:rsidRPr="001301F7">
        <w:rPr>
          <w:rFonts w:ascii="Times New Roman" w:hAnsi="Times New Roman" w:cs="Times New Roman"/>
          <w:b/>
          <w:lang w:val="ru-RU"/>
        </w:rPr>
        <w:t>9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Сторонники отказа Церкви от приобретения земельных и имущественных ценностей.  </w:t>
      </w:r>
      <w:r w:rsidRPr="001301F7">
        <w:rPr>
          <w:rFonts w:ascii="Times New Roman" w:hAnsi="Times New Roman" w:cs="Times New Roman"/>
          <w:b/>
          <w:lang w:val="ru-RU"/>
        </w:rPr>
        <w:t>11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 xml:space="preserve">Городское торгово-ремесленное население.  </w:t>
      </w:r>
      <w:r w:rsidRPr="001301F7">
        <w:rPr>
          <w:rFonts w:ascii="Times New Roman" w:hAnsi="Times New Roman" w:cs="Times New Roman"/>
          <w:b/>
          <w:lang w:val="ru-RU"/>
        </w:rPr>
        <w:t>12</w:t>
      </w:r>
      <w:r w:rsidRPr="001301F7">
        <w:rPr>
          <w:rFonts w:ascii="Times New Roman" w:hAnsi="Times New Roman" w:cs="Times New Roman"/>
          <w:lang w:val="ru-RU"/>
        </w:rPr>
        <w:t>.</w:t>
      </w:r>
      <w:r w:rsidRPr="001301F7">
        <w:rPr>
          <w:rFonts w:ascii="Times New Roman" w:hAnsi="Times New Roman" w:cs="Times New Roman"/>
        </w:rPr>
        <w:t> </w:t>
      </w:r>
      <w:r w:rsidRPr="001301F7">
        <w:rPr>
          <w:rFonts w:ascii="Times New Roman" w:hAnsi="Times New Roman" w:cs="Times New Roman"/>
          <w:lang w:val="ru-RU"/>
        </w:rPr>
        <w:t>Река, где были разбиты литовс</w:t>
      </w:r>
      <w:r>
        <w:rPr>
          <w:rFonts w:ascii="Times New Roman" w:hAnsi="Times New Roman" w:cs="Times New Roman"/>
          <w:lang w:val="ru-RU"/>
        </w:rPr>
        <w:t xml:space="preserve">кие войска московским войском. </w:t>
      </w:r>
    </w:p>
    <w:p w:rsidR="001301F7" w:rsidRPr="001301F7" w:rsidRDefault="001301F7" w:rsidP="00B72B02">
      <w:pPr>
        <w:rPr>
          <w:rFonts w:ascii="Times New Roman" w:hAnsi="Times New Roman" w:cs="Times New Roman"/>
          <w:lang w:val="ru-RU"/>
        </w:rPr>
      </w:pPr>
    </w:p>
    <w:p w:rsidR="00B72B02" w:rsidRPr="001301F7" w:rsidRDefault="00B72B02" w:rsidP="00B72B02">
      <w:pPr>
        <w:rPr>
          <w:rFonts w:ascii="Times New Roman" w:hAnsi="Times New Roman" w:cs="Times New Roman"/>
          <w:lang w:val="ru-RU"/>
        </w:rPr>
      </w:pPr>
    </w:p>
    <w:sectPr w:rsidR="00B72B02" w:rsidRPr="001301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76B"/>
    <w:rsid w:val="000B018F"/>
    <w:rsid w:val="001301F7"/>
    <w:rsid w:val="00336AF1"/>
    <w:rsid w:val="0040576B"/>
    <w:rsid w:val="00B7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057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057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130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01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057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057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130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01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puzzlecup.com Crossword Puzzle</vt:lpstr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puzzlecup.com Crossword Puzzle</dc:title>
  <dc:creator>puzzlecup.com</dc:creator>
  <dc:description>This crossword puzzle was created and exported from PuzzleCup.com web service.</dc:description>
  <cp:lastModifiedBy>steach</cp:lastModifiedBy>
  <cp:revision>2</cp:revision>
  <cp:lastPrinted>2025-04-24T15:19:00Z</cp:lastPrinted>
  <dcterms:created xsi:type="dcterms:W3CDTF">2017-03-16T19:40:00Z</dcterms:created>
  <dcterms:modified xsi:type="dcterms:W3CDTF">2025-04-24T15:23:00Z</dcterms:modified>
</cp:coreProperties>
</file>